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BF" w:rsidRDefault="009D5ABF" w:rsidP="00DA13A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-501015</wp:posOffset>
            </wp:positionV>
            <wp:extent cx="2171700" cy="8953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5A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-501015</wp:posOffset>
            </wp:positionV>
            <wp:extent cx="2943225" cy="809625"/>
            <wp:effectExtent l="19050" t="0" r="9525" b="0"/>
            <wp:wrapTight wrapText="bothSides">
              <wp:wrapPolygon edited="0">
                <wp:start x="280" y="0"/>
                <wp:lineTo x="-140" y="3558"/>
                <wp:lineTo x="-140" y="21346"/>
                <wp:lineTo x="559" y="21346"/>
                <wp:lineTo x="699" y="21346"/>
                <wp:lineTo x="1118" y="16772"/>
                <wp:lineTo x="6990" y="16264"/>
                <wp:lineTo x="21670" y="10673"/>
                <wp:lineTo x="21670" y="3049"/>
                <wp:lineTo x="1398" y="0"/>
                <wp:lineTo x="280" y="0"/>
              </wp:wrapPolygon>
            </wp:wrapTight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ABF" w:rsidRDefault="009D5ABF" w:rsidP="00DA13A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58E" w:rsidRPr="009D5ABF" w:rsidRDefault="00B5558E" w:rsidP="009D5ABF">
      <w:pPr>
        <w:spacing w:after="0" w:line="240" w:lineRule="auto"/>
        <w:ind w:firstLine="567"/>
        <w:jc w:val="center"/>
        <w:rPr>
          <w:rFonts w:ascii="Segoe UI" w:hAnsi="Segoe UI" w:cs="Segoe UI"/>
          <w:b/>
          <w:sz w:val="28"/>
          <w:szCs w:val="28"/>
        </w:rPr>
      </w:pPr>
      <w:r w:rsidRPr="009D5ABF">
        <w:rPr>
          <w:rFonts w:ascii="Segoe UI" w:hAnsi="Segoe UI" w:cs="Segoe UI"/>
          <w:b/>
          <w:sz w:val="28"/>
          <w:szCs w:val="28"/>
        </w:rPr>
        <w:t>В 2019 году в Татарстан</w:t>
      </w:r>
      <w:r w:rsidR="00A16991" w:rsidRPr="009D5ABF">
        <w:rPr>
          <w:rFonts w:ascii="Segoe UI" w:hAnsi="Segoe UI" w:cs="Segoe UI"/>
          <w:b/>
          <w:sz w:val="28"/>
          <w:szCs w:val="28"/>
        </w:rPr>
        <w:t>е поставлено на учет</w:t>
      </w:r>
      <w:r w:rsidRPr="009D5ABF">
        <w:rPr>
          <w:rFonts w:ascii="Segoe UI" w:hAnsi="Segoe UI" w:cs="Segoe UI"/>
          <w:b/>
          <w:sz w:val="28"/>
          <w:szCs w:val="28"/>
        </w:rPr>
        <w:t xml:space="preserve"> </w:t>
      </w:r>
      <w:r w:rsidR="00747035" w:rsidRPr="009D5ABF">
        <w:rPr>
          <w:rFonts w:ascii="Segoe UI" w:hAnsi="Segoe UI" w:cs="Segoe UI"/>
          <w:b/>
          <w:sz w:val="28"/>
          <w:szCs w:val="28"/>
        </w:rPr>
        <w:t xml:space="preserve">около </w:t>
      </w:r>
      <w:r w:rsidRPr="009D5ABF">
        <w:rPr>
          <w:rFonts w:ascii="Segoe UI" w:hAnsi="Segoe UI" w:cs="Segoe UI"/>
          <w:b/>
          <w:sz w:val="28"/>
          <w:szCs w:val="28"/>
        </w:rPr>
        <w:t>130 тыс. объектов недвижимости</w:t>
      </w:r>
    </w:p>
    <w:p w:rsidR="009D5ABF" w:rsidRPr="009D5ABF" w:rsidRDefault="009D5ABF" w:rsidP="009D5ABF">
      <w:pPr>
        <w:spacing w:after="0" w:line="240" w:lineRule="auto"/>
        <w:ind w:firstLine="567"/>
        <w:jc w:val="center"/>
        <w:rPr>
          <w:rFonts w:ascii="Segoe UI" w:hAnsi="Segoe UI" w:cs="Segoe UI"/>
          <w:b/>
          <w:sz w:val="24"/>
          <w:szCs w:val="24"/>
        </w:rPr>
      </w:pPr>
    </w:p>
    <w:p w:rsidR="00B5558E" w:rsidRPr="009D5ABF" w:rsidRDefault="00B5558E" w:rsidP="009D5ABF">
      <w:pPr>
        <w:spacing w:after="0" w:line="240" w:lineRule="auto"/>
        <w:ind w:firstLine="567"/>
        <w:jc w:val="both"/>
        <w:rPr>
          <w:rFonts w:ascii="Segoe UI" w:hAnsi="Segoe UI" w:cs="Segoe UI"/>
          <w:b/>
          <w:sz w:val="24"/>
          <w:szCs w:val="24"/>
        </w:rPr>
      </w:pPr>
      <w:r w:rsidRPr="009D5ABF">
        <w:rPr>
          <w:rFonts w:ascii="Segoe UI" w:hAnsi="Segoe UI" w:cs="Segoe UI"/>
          <w:b/>
          <w:sz w:val="24"/>
          <w:szCs w:val="24"/>
        </w:rPr>
        <w:t xml:space="preserve">Всего же в </w:t>
      </w:r>
      <w:proofErr w:type="spellStart"/>
      <w:proofErr w:type="gramStart"/>
      <w:r w:rsidRPr="009D5ABF">
        <w:rPr>
          <w:rFonts w:ascii="Segoe UI" w:hAnsi="Segoe UI" w:cs="Segoe UI"/>
          <w:b/>
          <w:sz w:val="24"/>
          <w:szCs w:val="24"/>
        </w:rPr>
        <w:t>в</w:t>
      </w:r>
      <w:proofErr w:type="spellEnd"/>
      <w:proofErr w:type="gramEnd"/>
      <w:r w:rsidRPr="009D5ABF">
        <w:rPr>
          <w:rFonts w:ascii="Segoe UI" w:hAnsi="Segoe UI" w:cs="Segoe UI"/>
          <w:b/>
          <w:sz w:val="24"/>
          <w:szCs w:val="24"/>
        </w:rPr>
        <w:t xml:space="preserve"> Едином государственном реестре недвижимости (ЕГРН) учтено уже более 4 </w:t>
      </w:r>
      <w:proofErr w:type="spellStart"/>
      <w:r w:rsidRPr="009D5ABF">
        <w:rPr>
          <w:rFonts w:ascii="Segoe UI" w:hAnsi="Segoe UI" w:cs="Segoe UI"/>
          <w:b/>
          <w:sz w:val="24"/>
          <w:szCs w:val="24"/>
        </w:rPr>
        <w:t>млн</w:t>
      </w:r>
      <w:proofErr w:type="spellEnd"/>
      <w:r w:rsidRPr="009D5ABF">
        <w:rPr>
          <w:rFonts w:ascii="Segoe UI" w:hAnsi="Segoe UI" w:cs="Segoe UI"/>
          <w:b/>
          <w:sz w:val="24"/>
          <w:szCs w:val="24"/>
        </w:rPr>
        <w:t xml:space="preserve"> объектов недвижимости. </w:t>
      </w:r>
    </w:p>
    <w:p w:rsidR="00B5558E" w:rsidRPr="009D5ABF" w:rsidRDefault="00B5558E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D5ABF">
        <w:rPr>
          <w:rFonts w:ascii="Segoe UI" w:hAnsi="Segoe UI" w:cs="Segoe UI"/>
          <w:sz w:val="24"/>
          <w:szCs w:val="24"/>
        </w:rPr>
        <w:t>По действующему законодательству постановка на кадастровый учет должна проводиться в течение пяти рабочих дней</w:t>
      </w:r>
      <w:r w:rsidR="00A03D79" w:rsidRPr="009D5ABF">
        <w:rPr>
          <w:rFonts w:ascii="Segoe UI" w:hAnsi="Segoe UI" w:cs="Segoe UI"/>
          <w:sz w:val="24"/>
          <w:szCs w:val="24"/>
        </w:rPr>
        <w:t>, начиная</w:t>
      </w:r>
      <w:r w:rsidRPr="009D5ABF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9D5ABF">
        <w:rPr>
          <w:rFonts w:ascii="Segoe UI" w:hAnsi="Segoe UI" w:cs="Segoe UI"/>
          <w:sz w:val="24"/>
          <w:szCs w:val="24"/>
        </w:rPr>
        <w:t>с даты приема</w:t>
      </w:r>
      <w:proofErr w:type="gramEnd"/>
      <w:r w:rsidRPr="009D5ABF">
        <w:rPr>
          <w:rFonts w:ascii="Segoe UI" w:hAnsi="Segoe UI" w:cs="Segoe UI"/>
          <w:sz w:val="24"/>
          <w:szCs w:val="24"/>
        </w:rPr>
        <w:t xml:space="preserve"> документов органом регистрации прав. Граждане могут представить документы для постановки недвижимости на государственный кадастровый учет через МФЦ, почтовым отправлением с объявленной ценностью при его пересылке, описью вложения и уведомлением о вручении, а также через Интернет с помощью специализированных электронных сервисов.</w:t>
      </w:r>
    </w:p>
    <w:p w:rsidR="00DA13AB" w:rsidRPr="009D5ABF" w:rsidRDefault="00B5558E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D5ABF">
        <w:rPr>
          <w:rFonts w:ascii="Segoe UI" w:hAnsi="Segoe UI" w:cs="Segoe UI"/>
          <w:sz w:val="24"/>
          <w:szCs w:val="24"/>
        </w:rPr>
        <w:t>При подаче документов через сеть многофункциональных центров срок проведения процедуры ГКУ увеличивается до семи рабочих дней.</w:t>
      </w:r>
      <w:r w:rsidR="00DA13AB" w:rsidRPr="009D5ABF">
        <w:rPr>
          <w:rFonts w:ascii="Segoe UI" w:hAnsi="Segoe UI" w:cs="Segoe UI"/>
          <w:sz w:val="24"/>
          <w:szCs w:val="24"/>
        </w:rPr>
        <w:t xml:space="preserve"> </w:t>
      </w:r>
      <w:r w:rsidRPr="009D5ABF">
        <w:rPr>
          <w:rFonts w:ascii="Segoe UI" w:hAnsi="Segoe UI" w:cs="Segoe UI"/>
          <w:sz w:val="24"/>
          <w:szCs w:val="24"/>
        </w:rPr>
        <w:t xml:space="preserve">Сократить сроки постановки недвижимости на государственный кадастровый учет </w:t>
      </w:r>
      <w:r w:rsidR="00DA13AB" w:rsidRPr="009D5ABF">
        <w:rPr>
          <w:rFonts w:ascii="Segoe UI" w:hAnsi="Segoe UI" w:cs="Segoe UI"/>
          <w:sz w:val="24"/>
          <w:szCs w:val="24"/>
        </w:rPr>
        <w:t xml:space="preserve">позволяют </w:t>
      </w:r>
      <w:r w:rsidRPr="009D5ABF">
        <w:rPr>
          <w:rFonts w:ascii="Segoe UI" w:hAnsi="Segoe UI" w:cs="Segoe UI"/>
          <w:sz w:val="24"/>
          <w:szCs w:val="24"/>
        </w:rPr>
        <w:t xml:space="preserve"> </w:t>
      </w:r>
      <w:hyperlink r:id="rId8" w:anchor="oformitnedv" w:history="1">
        <w:r w:rsidRPr="009D5ABF">
          <w:rPr>
            <w:rStyle w:val="a4"/>
            <w:rFonts w:ascii="Segoe UI" w:hAnsi="Segoe UI" w:cs="Segoe UI"/>
            <w:sz w:val="24"/>
            <w:szCs w:val="24"/>
          </w:rPr>
          <w:t>электронные сервисы</w:t>
        </w:r>
      </w:hyperlink>
      <w:r w:rsidRPr="009D5ABF">
        <w:rPr>
          <w:rFonts w:ascii="Segoe UI" w:hAnsi="Segoe UI" w:cs="Segoe UI"/>
          <w:sz w:val="24"/>
          <w:szCs w:val="24"/>
        </w:rPr>
        <w:t>, которые упрощают получение государственных услуг</w:t>
      </w:r>
      <w:r w:rsidR="00321472">
        <w:rPr>
          <w:rFonts w:ascii="Segoe UI" w:hAnsi="Segoe UI" w:cs="Segoe UI"/>
          <w:sz w:val="24"/>
          <w:szCs w:val="24"/>
        </w:rPr>
        <w:t xml:space="preserve"> в учетно-регистрационной сфере.</w:t>
      </w:r>
    </w:p>
    <w:p w:rsidR="00CC1665" w:rsidRPr="009D5ABF" w:rsidRDefault="00CC1665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D5ABF">
        <w:rPr>
          <w:rFonts w:ascii="Segoe UI" w:hAnsi="Segoe UI" w:cs="Segoe UI"/>
          <w:sz w:val="24"/>
          <w:szCs w:val="24"/>
        </w:rPr>
        <w:t>«</w:t>
      </w:r>
      <w:r w:rsidRPr="009D5ABF">
        <w:rPr>
          <w:rFonts w:ascii="Segoe UI" w:hAnsi="Segoe UI" w:cs="Segoe UI"/>
          <w:i/>
          <w:sz w:val="24"/>
          <w:szCs w:val="24"/>
        </w:rPr>
        <w:t>Кадастровый учет - эта процедура, который носит заявительный характер. В то же время кадастровый учет позволяет зарегистрировать на данную недвижимость право собственности и в дальнейшем распоряжаться ей в полной мере. Если собственник в дальнейшем планирует продавать, дарить или передавать свою недвижимость по наследству, ее нужно поставить на учет и зарегистрировать свои права</w:t>
      </w:r>
      <w:r w:rsidRPr="009D5ABF">
        <w:rPr>
          <w:rFonts w:ascii="Segoe UI" w:hAnsi="Segoe UI" w:cs="Segoe UI"/>
          <w:sz w:val="24"/>
          <w:szCs w:val="24"/>
        </w:rPr>
        <w:t xml:space="preserve">», - </w:t>
      </w:r>
      <w:r w:rsidRPr="009D5ABF">
        <w:rPr>
          <w:rFonts w:ascii="Segoe UI" w:hAnsi="Segoe UI" w:cs="Segoe UI"/>
          <w:b/>
          <w:sz w:val="24"/>
          <w:szCs w:val="24"/>
        </w:rPr>
        <w:t xml:space="preserve">отмечает заместитель директора Кадастровой  палаты по РТ </w:t>
      </w:r>
      <w:proofErr w:type="spellStart"/>
      <w:r w:rsidRPr="009D5ABF">
        <w:rPr>
          <w:rFonts w:ascii="Segoe UI" w:hAnsi="Segoe UI" w:cs="Segoe UI"/>
          <w:b/>
          <w:sz w:val="24"/>
          <w:szCs w:val="24"/>
        </w:rPr>
        <w:t>Лейсан</w:t>
      </w:r>
      <w:proofErr w:type="spellEnd"/>
      <w:r w:rsidRPr="009D5ABF">
        <w:rPr>
          <w:rFonts w:ascii="Segoe UI" w:hAnsi="Segoe UI" w:cs="Segoe UI"/>
          <w:b/>
          <w:sz w:val="24"/>
          <w:szCs w:val="24"/>
        </w:rPr>
        <w:t xml:space="preserve"> Рахматуллина.</w:t>
      </w:r>
    </w:p>
    <w:p w:rsidR="00CC1665" w:rsidRPr="009D5ABF" w:rsidRDefault="00CC1665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D5ABF">
        <w:rPr>
          <w:rFonts w:ascii="Segoe UI" w:hAnsi="Segoe UI" w:cs="Segoe UI"/>
          <w:sz w:val="24"/>
          <w:szCs w:val="24"/>
        </w:rPr>
        <w:t xml:space="preserve">В процессе проведения кадастрового учета в реестр вносятся основные сведения о земельных участках, зданиях, сооружениях, помещениях, </w:t>
      </w:r>
      <w:proofErr w:type="spellStart"/>
      <w:r w:rsidRPr="009D5ABF">
        <w:rPr>
          <w:rFonts w:ascii="Segoe UI" w:hAnsi="Segoe UI" w:cs="Segoe UI"/>
          <w:sz w:val="24"/>
          <w:szCs w:val="24"/>
        </w:rPr>
        <w:t>машино-местах</w:t>
      </w:r>
      <w:proofErr w:type="spellEnd"/>
      <w:r w:rsidRPr="009D5ABF">
        <w:rPr>
          <w:rFonts w:ascii="Segoe UI" w:hAnsi="Segoe UI" w:cs="Segoe UI"/>
          <w:sz w:val="24"/>
          <w:szCs w:val="24"/>
        </w:rPr>
        <w:t>, об объектах незавершенного строительства, о единых недвижимых комплексах с их характеристиками, позволяющими определить их в качестве индивидуально-определенной вещи (например, сведения о местоположении границ, площади, номере кадастрового квартала, в котором расположен объект). Каждому объекту недвижимости, сведения о котором вносятся в реестр, присваивается уникальный кадастровый номер.</w:t>
      </w:r>
    </w:p>
    <w:p w:rsidR="00B5558E" w:rsidRPr="009D5ABF" w:rsidRDefault="00DA13AB" w:rsidP="009D5ABF">
      <w:pPr>
        <w:spacing w:after="0" w:line="240" w:lineRule="auto"/>
        <w:ind w:firstLine="567"/>
        <w:jc w:val="both"/>
        <w:rPr>
          <w:rFonts w:ascii="Segoe UI" w:hAnsi="Segoe UI" w:cs="Segoe UI"/>
          <w:b/>
          <w:sz w:val="24"/>
          <w:szCs w:val="24"/>
        </w:rPr>
      </w:pPr>
      <w:r w:rsidRPr="009D5ABF">
        <w:rPr>
          <w:rFonts w:ascii="Segoe UI" w:hAnsi="Segoe UI" w:cs="Segoe UI"/>
          <w:sz w:val="24"/>
          <w:szCs w:val="24"/>
        </w:rPr>
        <w:t>«</w:t>
      </w:r>
      <w:r w:rsidR="00B5558E" w:rsidRPr="009D5ABF">
        <w:rPr>
          <w:rFonts w:ascii="Segoe UI" w:hAnsi="Segoe UI" w:cs="Segoe UI"/>
          <w:i/>
          <w:sz w:val="24"/>
          <w:szCs w:val="24"/>
        </w:rPr>
        <w:t>Проведение государственного кадастрового учета нужно, например, если существенно изменились характеристики здания или сооружения. Если объект недвижимости только был создан (например, построен частный жилой дом) либо был образован (например</w:t>
      </w:r>
      <w:r w:rsidR="00B5558E" w:rsidRPr="00085681">
        <w:rPr>
          <w:rFonts w:ascii="Segoe UI" w:hAnsi="Segoe UI" w:cs="Segoe UI"/>
          <w:i/>
          <w:sz w:val="24"/>
          <w:szCs w:val="24"/>
        </w:rPr>
        <w:t xml:space="preserve">, впервые </w:t>
      </w:r>
      <w:r w:rsidR="002F4BDC" w:rsidRPr="00085681">
        <w:rPr>
          <w:rFonts w:ascii="Segoe UI" w:hAnsi="Segoe UI" w:cs="Segoe UI"/>
          <w:i/>
          <w:sz w:val="24"/>
          <w:szCs w:val="24"/>
        </w:rPr>
        <w:t>образован</w:t>
      </w:r>
      <w:r w:rsidR="00B5558E" w:rsidRPr="00085681">
        <w:rPr>
          <w:rFonts w:ascii="Segoe UI" w:hAnsi="Segoe UI" w:cs="Segoe UI"/>
          <w:i/>
          <w:sz w:val="24"/>
          <w:szCs w:val="24"/>
        </w:rPr>
        <w:t xml:space="preserve"> земельный участок</w:t>
      </w:r>
      <w:r w:rsidR="002F4BDC" w:rsidRPr="00085681">
        <w:rPr>
          <w:rFonts w:ascii="Segoe UI" w:hAnsi="Segoe UI" w:cs="Segoe UI"/>
          <w:i/>
          <w:sz w:val="24"/>
          <w:szCs w:val="24"/>
        </w:rPr>
        <w:t xml:space="preserve"> из существующего</w:t>
      </w:r>
      <w:r w:rsidR="00B5558E" w:rsidRPr="00085681">
        <w:rPr>
          <w:rFonts w:ascii="Segoe UI" w:hAnsi="Segoe UI" w:cs="Segoe UI"/>
          <w:i/>
          <w:sz w:val="24"/>
          <w:szCs w:val="24"/>
        </w:rPr>
        <w:t>),</w:t>
      </w:r>
      <w:r w:rsidR="00B5558E" w:rsidRPr="009D5ABF">
        <w:rPr>
          <w:rFonts w:ascii="Segoe UI" w:hAnsi="Segoe UI" w:cs="Segoe UI"/>
          <w:i/>
          <w:sz w:val="24"/>
          <w:szCs w:val="24"/>
        </w:rPr>
        <w:t xml:space="preserve"> требуется проведение кадастрового учета с одновременной регистрацией права собственности на него</w:t>
      </w:r>
      <w:r w:rsidRPr="009D5ABF">
        <w:rPr>
          <w:rFonts w:ascii="Segoe UI" w:hAnsi="Segoe UI" w:cs="Segoe UI"/>
          <w:i/>
          <w:sz w:val="24"/>
          <w:szCs w:val="24"/>
        </w:rPr>
        <w:t>»,</w:t>
      </w:r>
      <w:r w:rsidRPr="009D5ABF">
        <w:rPr>
          <w:rFonts w:ascii="Segoe UI" w:hAnsi="Segoe UI" w:cs="Segoe UI"/>
          <w:sz w:val="24"/>
          <w:szCs w:val="24"/>
        </w:rPr>
        <w:t xml:space="preserve"> – </w:t>
      </w:r>
      <w:r w:rsidRPr="009D5ABF">
        <w:rPr>
          <w:rFonts w:ascii="Segoe UI" w:hAnsi="Segoe UI" w:cs="Segoe UI"/>
          <w:b/>
          <w:sz w:val="24"/>
          <w:szCs w:val="24"/>
        </w:rPr>
        <w:t xml:space="preserve">отмечает </w:t>
      </w:r>
      <w:r w:rsidR="009D5ABF">
        <w:rPr>
          <w:rFonts w:ascii="Segoe UI" w:hAnsi="Segoe UI" w:cs="Segoe UI"/>
          <w:b/>
          <w:sz w:val="24"/>
          <w:szCs w:val="24"/>
        </w:rPr>
        <w:t xml:space="preserve">и.о. </w:t>
      </w:r>
      <w:r w:rsidR="00CC1665" w:rsidRPr="009D5ABF">
        <w:rPr>
          <w:rFonts w:ascii="Segoe UI" w:hAnsi="Segoe UI" w:cs="Segoe UI"/>
          <w:b/>
          <w:sz w:val="24"/>
          <w:szCs w:val="24"/>
        </w:rPr>
        <w:t>заместителя</w:t>
      </w:r>
      <w:r w:rsidRPr="009D5ABF">
        <w:rPr>
          <w:rFonts w:ascii="Segoe UI" w:hAnsi="Segoe UI" w:cs="Segoe UI"/>
          <w:b/>
          <w:sz w:val="24"/>
          <w:szCs w:val="24"/>
        </w:rPr>
        <w:t xml:space="preserve"> </w:t>
      </w:r>
      <w:r w:rsidR="00CC1665" w:rsidRPr="009D5ABF">
        <w:rPr>
          <w:rFonts w:ascii="Segoe UI" w:hAnsi="Segoe UI" w:cs="Segoe UI"/>
          <w:b/>
          <w:sz w:val="24"/>
          <w:szCs w:val="24"/>
        </w:rPr>
        <w:t xml:space="preserve">руководителя Управления </w:t>
      </w:r>
      <w:proofErr w:type="spellStart"/>
      <w:r w:rsidR="00CC1665" w:rsidRPr="009D5ABF"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 w:rsidR="00CC1665" w:rsidRPr="009D5ABF">
        <w:rPr>
          <w:rFonts w:ascii="Segoe UI" w:hAnsi="Segoe UI" w:cs="Segoe UI"/>
          <w:b/>
          <w:sz w:val="24"/>
          <w:szCs w:val="24"/>
        </w:rPr>
        <w:t xml:space="preserve"> по РТ Людмила Кулагина.</w:t>
      </w:r>
      <w:r w:rsidRPr="009D5ABF">
        <w:rPr>
          <w:rFonts w:ascii="Segoe UI" w:hAnsi="Segoe UI" w:cs="Segoe UI"/>
          <w:b/>
          <w:sz w:val="24"/>
          <w:szCs w:val="24"/>
        </w:rPr>
        <w:t xml:space="preserve"> </w:t>
      </w:r>
    </w:p>
    <w:p w:rsidR="00CE5C8A" w:rsidRPr="009D5ABF" w:rsidRDefault="00CE5C8A" w:rsidP="009D5ABF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9D5ABF">
        <w:rPr>
          <w:rFonts w:ascii="Segoe UI" w:hAnsi="Segoe UI" w:cs="Segoe UI"/>
          <w:b/>
          <w:i/>
          <w:sz w:val="24"/>
          <w:szCs w:val="24"/>
        </w:rPr>
        <w:lastRenderedPageBreak/>
        <w:t>Для справки:</w:t>
      </w:r>
      <w:r w:rsidR="009D5ABF" w:rsidRPr="009D5ABF">
        <w:rPr>
          <w:rFonts w:ascii="Segoe UI" w:hAnsi="Segoe UI" w:cs="Segoe UI"/>
          <w:i/>
          <w:sz w:val="24"/>
          <w:szCs w:val="24"/>
        </w:rPr>
        <w:t xml:space="preserve"> О</w:t>
      </w:r>
      <w:r w:rsidRPr="009D5ABF">
        <w:rPr>
          <w:rFonts w:ascii="Segoe UI" w:hAnsi="Segoe UI" w:cs="Segoe UI"/>
          <w:i/>
          <w:sz w:val="24"/>
          <w:szCs w:val="24"/>
        </w:rPr>
        <w:t xml:space="preserve">бщее количество зарегистрированных прав на основании заявлений об одновременном осуществлении кадастрового учета и регистрации прав </w:t>
      </w:r>
      <w:r w:rsidR="009D5ABF" w:rsidRPr="009D5ABF">
        <w:rPr>
          <w:rFonts w:ascii="Segoe UI" w:hAnsi="Segoe UI" w:cs="Segoe UI"/>
          <w:i/>
          <w:sz w:val="24"/>
          <w:szCs w:val="24"/>
        </w:rPr>
        <w:t xml:space="preserve">за 2019 год – </w:t>
      </w:r>
      <w:r w:rsidR="009D5ABF" w:rsidRPr="009D5ABF">
        <w:rPr>
          <w:rFonts w:ascii="Segoe UI" w:hAnsi="Segoe UI" w:cs="Segoe UI"/>
          <w:b/>
          <w:i/>
          <w:sz w:val="24"/>
          <w:szCs w:val="24"/>
        </w:rPr>
        <w:t>57445.</w:t>
      </w:r>
    </w:p>
    <w:p w:rsidR="00B5558E" w:rsidRPr="009D5ABF" w:rsidRDefault="00DA13AB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D5ABF">
        <w:rPr>
          <w:rFonts w:ascii="Segoe UI" w:hAnsi="Segoe UI" w:cs="Segoe UI"/>
          <w:sz w:val="24"/>
          <w:szCs w:val="24"/>
        </w:rPr>
        <w:t>В случае е</w:t>
      </w:r>
      <w:r w:rsidR="00B5558E" w:rsidRPr="009D5ABF">
        <w:rPr>
          <w:rFonts w:ascii="Segoe UI" w:hAnsi="Segoe UI" w:cs="Segoe UI"/>
          <w:sz w:val="24"/>
          <w:szCs w:val="24"/>
        </w:rPr>
        <w:t>сли объект недвижимости прекратил существование, также следует провести аналогичную процедуру. Разница лишь в предмете заявления: в первом случае гражданин подает необходимый пакет документов и заявление о проведении государственного кадастрового учета, во втором – заявление о снятии с ГКУ и прекращении права собственности.</w:t>
      </w:r>
    </w:p>
    <w:p w:rsidR="009D5ABF" w:rsidRP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D5ABF">
        <w:rPr>
          <w:rFonts w:ascii="Segoe UI" w:hAnsi="Segoe UI" w:cs="Segoe UI"/>
          <w:b/>
          <w:i/>
          <w:sz w:val="24"/>
          <w:szCs w:val="24"/>
        </w:rPr>
        <w:t xml:space="preserve">Для справки: </w:t>
      </w:r>
      <w:r w:rsidRPr="009D5ABF">
        <w:rPr>
          <w:rFonts w:ascii="Segoe UI" w:hAnsi="Segoe UI" w:cs="Segoe UI"/>
          <w:i/>
          <w:sz w:val="24"/>
          <w:szCs w:val="24"/>
        </w:rPr>
        <w:t xml:space="preserve">В 2019 году снято с кадастрового учета </w:t>
      </w:r>
      <w:r w:rsidRPr="009D5ABF">
        <w:rPr>
          <w:rFonts w:ascii="Segoe UI" w:hAnsi="Segoe UI" w:cs="Segoe UI"/>
          <w:b/>
          <w:i/>
          <w:sz w:val="24"/>
          <w:szCs w:val="24"/>
        </w:rPr>
        <w:t>28728</w:t>
      </w:r>
      <w:r w:rsidRPr="009D5ABF">
        <w:rPr>
          <w:rFonts w:ascii="Segoe UI" w:hAnsi="Segoe UI" w:cs="Segoe UI"/>
          <w:i/>
          <w:sz w:val="24"/>
          <w:szCs w:val="24"/>
        </w:rPr>
        <w:t xml:space="preserve"> объектов недвижимости.</w:t>
      </w:r>
    </w:p>
    <w:p w:rsidR="009D5ABF" w:rsidRPr="009D5ABF" w:rsidRDefault="00B5558E" w:rsidP="009D5ABF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D5ABF">
        <w:rPr>
          <w:rFonts w:ascii="Segoe UI" w:hAnsi="Segoe UI" w:cs="Segoe UI"/>
          <w:sz w:val="24"/>
          <w:szCs w:val="24"/>
          <w:shd w:val="clear" w:color="auto" w:fill="FFFFFF"/>
        </w:rPr>
        <w:t xml:space="preserve">Напомним, в 2014 году срок постановки объекта недвижимости на государственный кадастровый учет составлял десять календарных дней. Таким образом, за последние пять лет средний срок постановки на государственный кадастровый учет сократился с десяти до </w:t>
      </w:r>
      <w:r w:rsidR="00CC1665" w:rsidRPr="009D5ABF">
        <w:rPr>
          <w:rFonts w:ascii="Segoe UI" w:hAnsi="Segoe UI" w:cs="Segoe UI"/>
          <w:b/>
          <w:sz w:val="24"/>
          <w:szCs w:val="24"/>
          <w:shd w:val="clear" w:color="auto" w:fill="FFFFFF"/>
        </w:rPr>
        <w:t>пяти</w:t>
      </w:r>
      <w:r w:rsidRPr="009D5ABF">
        <w:rPr>
          <w:rFonts w:ascii="Segoe UI" w:hAnsi="Segoe UI" w:cs="Segoe UI"/>
          <w:sz w:val="24"/>
          <w:szCs w:val="24"/>
          <w:shd w:val="clear" w:color="auto" w:fill="FFFFFF"/>
        </w:rPr>
        <w:t xml:space="preserve"> дней. Это стало возможным благодаря внедрению электронных сервисов и развитию различных форм межведомственного</w:t>
      </w:r>
      <w:r w:rsidRPr="009D5ABF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взаимодействия. </w:t>
      </w:r>
    </w:p>
    <w:p w:rsidR="009D5ABF" w:rsidRDefault="00B5558E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D5ABF">
        <w:rPr>
          <w:rFonts w:ascii="Segoe UI" w:hAnsi="Segoe UI" w:cs="Segoe UI"/>
          <w:sz w:val="24"/>
          <w:szCs w:val="24"/>
        </w:rPr>
        <w:t xml:space="preserve"> </w:t>
      </w: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9D5ABF" w:rsidRDefault="009D5ABF" w:rsidP="009D5ABF">
      <w:pPr>
        <w:spacing w:after="0" w:line="240" w:lineRule="auto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p w:rsidR="009D5ABF" w:rsidRDefault="009D5ABF" w:rsidP="009D5ABF">
      <w:pPr>
        <w:spacing w:after="0" w:line="240" w:lineRule="auto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p w:rsidR="009D5ABF" w:rsidRDefault="009D5ABF" w:rsidP="009D5ABF">
      <w:pPr>
        <w:spacing w:after="0" w:line="240" w:lineRule="auto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p w:rsidR="009D5ABF" w:rsidRDefault="009D5ABF" w:rsidP="009D5ABF">
      <w:pPr>
        <w:spacing w:after="0" w:line="240" w:lineRule="auto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p w:rsidR="009D5ABF" w:rsidRDefault="009D5ABF" w:rsidP="009D5ABF">
      <w:pPr>
        <w:spacing w:after="0" w:line="240" w:lineRule="auto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p w:rsidR="009D5ABF" w:rsidRDefault="009D5ABF" w:rsidP="009D5ABF">
      <w:pPr>
        <w:spacing w:after="0" w:line="240" w:lineRule="auto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</w:p>
    <w:p w:rsidR="009D5ABF" w:rsidRPr="009D5ABF" w:rsidRDefault="009D5ABF" w:rsidP="009D5ABF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9D5ABF"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9D5ABF" w:rsidRPr="009D5ABF" w:rsidRDefault="009D5ABF" w:rsidP="009D5ABF">
      <w:pPr>
        <w:spacing w:after="0" w:line="240" w:lineRule="auto"/>
        <w:rPr>
          <w:rFonts w:ascii="Segoe UI" w:hAnsi="Segoe UI" w:cs="Segoe UI"/>
          <w:kern w:val="2"/>
          <w:sz w:val="20"/>
          <w:szCs w:val="20"/>
        </w:rPr>
      </w:pPr>
      <w:r w:rsidRPr="009D5ABF">
        <w:rPr>
          <w:rFonts w:ascii="Segoe UI" w:hAnsi="Segoe UI" w:cs="Segoe UI"/>
          <w:kern w:val="2"/>
          <w:sz w:val="20"/>
          <w:szCs w:val="20"/>
        </w:rPr>
        <w:t xml:space="preserve">Пресс-служба </w:t>
      </w:r>
      <w:proofErr w:type="spellStart"/>
      <w:r w:rsidRPr="009D5ABF">
        <w:rPr>
          <w:rFonts w:ascii="Segoe UI" w:hAnsi="Segoe UI" w:cs="Segoe UI"/>
          <w:kern w:val="2"/>
          <w:sz w:val="20"/>
          <w:szCs w:val="20"/>
        </w:rPr>
        <w:t>Росреестра</w:t>
      </w:r>
      <w:proofErr w:type="spellEnd"/>
      <w:r w:rsidRPr="009D5ABF">
        <w:rPr>
          <w:rFonts w:ascii="Segoe UI" w:hAnsi="Segoe UI" w:cs="Segoe UI"/>
          <w:kern w:val="2"/>
          <w:sz w:val="20"/>
          <w:szCs w:val="20"/>
        </w:rPr>
        <w:t xml:space="preserve"> Татарстана</w:t>
      </w:r>
    </w:p>
    <w:p w:rsidR="009D5ABF" w:rsidRPr="009D5ABF" w:rsidRDefault="009D5ABF" w:rsidP="009D5ABF">
      <w:pPr>
        <w:spacing w:after="0" w:line="240" w:lineRule="auto"/>
        <w:rPr>
          <w:rFonts w:ascii="Segoe UI" w:eastAsiaTheme="minorEastAsia" w:hAnsi="Segoe UI" w:cs="Segoe UI"/>
          <w:noProof/>
          <w:sz w:val="20"/>
          <w:szCs w:val="20"/>
          <w:lang w:eastAsia="ru-RU"/>
        </w:rPr>
      </w:pPr>
      <w:r w:rsidRPr="009D5ABF">
        <w:rPr>
          <w:rFonts w:ascii="Segoe UI" w:hAnsi="Segoe UI" w:cs="Segoe UI"/>
          <w:sz w:val="20"/>
          <w:szCs w:val="20"/>
        </w:rPr>
        <w:t>+8 843 255 25 10</w:t>
      </w:r>
    </w:p>
    <w:p w:rsidR="009D5ABF" w:rsidRPr="009D5ABF" w:rsidRDefault="009D5ABF" w:rsidP="009D5ABF">
      <w:pPr>
        <w:spacing w:after="0" w:line="240" w:lineRule="auto"/>
        <w:rPr>
          <w:rFonts w:ascii="Segoe UI" w:eastAsiaTheme="minorEastAsia" w:hAnsi="Segoe UI" w:cs="Segoe UI"/>
          <w:noProof/>
          <w:sz w:val="20"/>
          <w:szCs w:val="20"/>
          <w:lang w:eastAsia="ru-RU"/>
        </w:rPr>
      </w:pPr>
      <w:r w:rsidRPr="009D5ABF">
        <w:rPr>
          <w:rFonts w:ascii="Segoe UI" w:eastAsiaTheme="minorEastAsia" w:hAnsi="Segoe UI" w:cs="Segoe UI"/>
          <w:noProof/>
          <w:sz w:val="20"/>
          <w:szCs w:val="20"/>
          <w:lang w:eastAsia="ru-RU"/>
        </w:rPr>
        <w:t>Кадастровая палата по Республике Татарстан</w:t>
      </w:r>
    </w:p>
    <w:p w:rsidR="009D5ABF" w:rsidRPr="009D5ABF" w:rsidRDefault="009D5ABF" w:rsidP="009D5ABF">
      <w:pPr>
        <w:spacing w:after="0" w:line="240" w:lineRule="auto"/>
        <w:jc w:val="both"/>
        <w:rPr>
          <w:rFonts w:ascii="Segoe UI" w:eastAsiaTheme="minorEastAsia" w:hAnsi="Segoe UI" w:cs="Segoe UI"/>
          <w:noProof/>
          <w:sz w:val="20"/>
          <w:szCs w:val="20"/>
          <w:lang w:eastAsia="ru-RU"/>
        </w:rPr>
      </w:pPr>
      <w:r w:rsidRPr="009D5ABF">
        <w:rPr>
          <w:rFonts w:ascii="Segoe UI" w:eastAsiaTheme="minorEastAsia" w:hAnsi="Segoe UI" w:cs="Segoe UI"/>
          <w:noProof/>
          <w:sz w:val="20"/>
          <w:szCs w:val="20"/>
          <w:lang w:eastAsia="ru-RU"/>
        </w:rPr>
        <w:t>Тел. +7 950 32 69 202</w:t>
      </w:r>
    </w:p>
    <w:p w:rsidR="00B5558E" w:rsidRPr="00384FB7" w:rsidRDefault="00B5558E" w:rsidP="009D5AB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5558E" w:rsidRPr="00384FB7" w:rsidSect="009D5A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F45B50" w16cid:durableId="21BBBE68"/>
  <w16cid:commentId w16cid:paraId="1A5E7AB8" w16cid:durableId="21BBBE8A"/>
  <w16cid:commentId w16cid:paraId="3897F8B8" w16cid:durableId="21BBBE57"/>
  <w16cid:commentId w16cid:paraId="457FFD0C" w16cid:durableId="21BBBEC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3398"/>
    <w:multiLevelType w:val="multilevel"/>
    <w:tmpl w:val="3924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96C4B"/>
    <w:multiLevelType w:val="multilevel"/>
    <w:tmpl w:val="A9F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2D6"/>
    <w:rsid w:val="00063EF6"/>
    <w:rsid w:val="00085681"/>
    <w:rsid w:val="000C3111"/>
    <w:rsid w:val="0012160B"/>
    <w:rsid w:val="00153279"/>
    <w:rsid w:val="001714DC"/>
    <w:rsid w:val="001806BE"/>
    <w:rsid w:val="001D19F6"/>
    <w:rsid w:val="001F0091"/>
    <w:rsid w:val="00231AB6"/>
    <w:rsid w:val="002A1508"/>
    <w:rsid w:val="002C525E"/>
    <w:rsid w:val="002F4BDC"/>
    <w:rsid w:val="003125E1"/>
    <w:rsid w:val="00321472"/>
    <w:rsid w:val="00341E2F"/>
    <w:rsid w:val="00384FB7"/>
    <w:rsid w:val="00393B79"/>
    <w:rsid w:val="00397A74"/>
    <w:rsid w:val="003B0A01"/>
    <w:rsid w:val="003B0DC6"/>
    <w:rsid w:val="003B6D13"/>
    <w:rsid w:val="003D6C51"/>
    <w:rsid w:val="00422FDF"/>
    <w:rsid w:val="00454379"/>
    <w:rsid w:val="004A573D"/>
    <w:rsid w:val="004D321D"/>
    <w:rsid w:val="004F5D9F"/>
    <w:rsid w:val="00520342"/>
    <w:rsid w:val="0054684B"/>
    <w:rsid w:val="00593D3F"/>
    <w:rsid w:val="005F3297"/>
    <w:rsid w:val="00637ECF"/>
    <w:rsid w:val="00665BC3"/>
    <w:rsid w:val="006A5876"/>
    <w:rsid w:val="006C1CFA"/>
    <w:rsid w:val="006D2897"/>
    <w:rsid w:val="0072136B"/>
    <w:rsid w:val="00747035"/>
    <w:rsid w:val="007D459B"/>
    <w:rsid w:val="00822572"/>
    <w:rsid w:val="00825DF5"/>
    <w:rsid w:val="00827560"/>
    <w:rsid w:val="008532D6"/>
    <w:rsid w:val="008850AE"/>
    <w:rsid w:val="008D0A57"/>
    <w:rsid w:val="008E77B8"/>
    <w:rsid w:val="00974A50"/>
    <w:rsid w:val="00984CD4"/>
    <w:rsid w:val="009D5ABF"/>
    <w:rsid w:val="00A03D79"/>
    <w:rsid w:val="00A16991"/>
    <w:rsid w:val="00A332DF"/>
    <w:rsid w:val="00A41AC7"/>
    <w:rsid w:val="00A47FBA"/>
    <w:rsid w:val="00AC5CA0"/>
    <w:rsid w:val="00AE5D55"/>
    <w:rsid w:val="00AF1707"/>
    <w:rsid w:val="00B513C3"/>
    <w:rsid w:val="00B51781"/>
    <w:rsid w:val="00B5558E"/>
    <w:rsid w:val="00B927A4"/>
    <w:rsid w:val="00B95A78"/>
    <w:rsid w:val="00BC5CA6"/>
    <w:rsid w:val="00BE1BB0"/>
    <w:rsid w:val="00BE6852"/>
    <w:rsid w:val="00BF6558"/>
    <w:rsid w:val="00CC1665"/>
    <w:rsid w:val="00CD527A"/>
    <w:rsid w:val="00CE5C8A"/>
    <w:rsid w:val="00CF303B"/>
    <w:rsid w:val="00D33C4A"/>
    <w:rsid w:val="00D70B18"/>
    <w:rsid w:val="00D82CAE"/>
    <w:rsid w:val="00D85ACF"/>
    <w:rsid w:val="00D87873"/>
    <w:rsid w:val="00DA13AB"/>
    <w:rsid w:val="00DA5C76"/>
    <w:rsid w:val="00E046CB"/>
    <w:rsid w:val="00E3307D"/>
    <w:rsid w:val="00E702A1"/>
    <w:rsid w:val="00EA68EF"/>
    <w:rsid w:val="00EA7A02"/>
    <w:rsid w:val="00EB4C2E"/>
    <w:rsid w:val="00EB4F4D"/>
    <w:rsid w:val="00FF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46CB"/>
    <w:rPr>
      <w:color w:val="0000FF"/>
      <w:u w:val="single"/>
    </w:rPr>
  </w:style>
  <w:style w:type="character" w:customStyle="1" w:styleId="qa-text-wrap">
    <w:name w:val="qa-text-wrap"/>
    <w:basedOn w:val="a0"/>
    <w:rsid w:val="00D33C4A"/>
  </w:style>
  <w:style w:type="character" w:customStyle="1" w:styleId="qa-hint">
    <w:name w:val="qa-hint"/>
    <w:basedOn w:val="a0"/>
    <w:rsid w:val="00D33C4A"/>
  </w:style>
  <w:style w:type="character" w:styleId="a5">
    <w:name w:val="annotation reference"/>
    <w:basedOn w:val="a0"/>
    <w:uiPriority w:val="99"/>
    <w:semiHidden/>
    <w:unhideWhenUsed/>
    <w:rsid w:val="00637E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7E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7EC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7E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7EC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7ECF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70B18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9D5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ite/sposoby/electronic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8B36-C6FA-4F0A-B43B-D2694058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Gallyamova</cp:lastModifiedBy>
  <cp:revision>5</cp:revision>
  <cp:lastPrinted>2020-01-21T11:24:00Z</cp:lastPrinted>
  <dcterms:created xsi:type="dcterms:W3CDTF">2020-01-21T10:41:00Z</dcterms:created>
  <dcterms:modified xsi:type="dcterms:W3CDTF">2020-01-23T06:26:00Z</dcterms:modified>
</cp:coreProperties>
</file>